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4C9077C7" w14:textId="33B10034" w:rsidR="00055EBB" w:rsidRDefault="000653DA" w:rsidP="009467A1">
      <w:pPr>
        <w:jc w:val="both"/>
        <w:rPr>
          <w:rFonts w:ascii="Calibri" w:eastAsia="Calibri" w:hAnsi="Calibri" w:cs="Calibri"/>
          <w:b/>
          <w:sz w:val="24"/>
          <w:szCs w:val="24"/>
        </w:rPr>
      </w:pPr>
      <w:r>
        <w:rPr>
          <w:noProof/>
        </w:rPr>
        <w:drawing>
          <wp:anchor distT="0" distB="0" distL="114300" distR="114300" simplePos="0" relativeHeight="251659264" behindDoc="0" locked="0" layoutInCell="1" allowOverlap="1" wp14:anchorId="4F43FE5C" wp14:editId="51C69080">
            <wp:simplePos x="0" y="0"/>
            <wp:positionH relativeFrom="margin">
              <wp:posOffset>737870</wp:posOffset>
            </wp:positionH>
            <wp:positionV relativeFrom="paragraph">
              <wp:posOffset>208915</wp:posOffset>
            </wp:positionV>
            <wp:extent cx="1758315" cy="466725"/>
            <wp:effectExtent l="0" t="0" r="0" b="3175"/>
            <wp:wrapNone/>
            <wp:docPr id="1555984418" name="Picture 155598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DPE full colo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58315" cy="4667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3F5BC776" wp14:editId="2F411F01">
            <wp:simplePos x="0" y="0"/>
            <wp:positionH relativeFrom="column">
              <wp:posOffset>833120</wp:posOffset>
            </wp:positionH>
            <wp:positionV relativeFrom="paragraph">
              <wp:posOffset>-761683</wp:posOffset>
            </wp:positionV>
            <wp:extent cx="1537199" cy="817595"/>
            <wp:effectExtent l="0" t="0" r="0" b="0"/>
            <wp:wrapNone/>
            <wp:docPr id="937169646" name="Picture 3" descr="Collaborators | The CT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llaborators | The CT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7199" cy="8175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b/>
          <w:noProof/>
          <w:sz w:val="24"/>
          <w:szCs w:val="24"/>
        </w:rPr>
        <w:drawing>
          <wp:anchor distT="0" distB="0" distL="114300" distR="114300" simplePos="0" relativeHeight="251664384" behindDoc="0" locked="0" layoutInCell="1" allowOverlap="1" wp14:anchorId="4C0D1A0B" wp14:editId="37BC77CE">
            <wp:simplePos x="0" y="0"/>
            <wp:positionH relativeFrom="column">
              <wp:posOffset>3187700</wp:posOffset>
            </wp:positionH>
            <wp:positionV relativeFrom="paragraph">
              <wp:posOffset>209550</wp:posOffset>
            </wp:positionV>
            <wp:extent cx="2349500" cy="408940"/>
            <wp:effectExtent l="0" t="0" r="0" b="0"/>
            <wp:wrapNone/>
            <wp:docPr id="1627450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5038" name="Picture 1627450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9500" cy="4089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65B4470C" wp14:editId="68B73D37">
            <wp:simplePos x="0" y="0"/>
            <wp:positionH relativeFrom="column">
              <wp:posOffset>2777808</wp:posOffset>
            </wp:positionH>
            <wp:positionV relativeFrom="paragraph">
              <wp:posOffset>208597</wp:posOffset>
            </wp:positionV>
            <wp:extent cx="408305" cy="408305"/>
            <wp:effectExtent l="0" t="0" r="0" b="0"/>
            <wp:wrapNone/>
            <wp:docPr id="440070132" name="Picture 4" descr="Divisions | Department of 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visions | Department of Medici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8305" cy="408305"/>
                    </a:xfrm>
                    <a:prstGeom prst="rect">
                      <a:avLst/>
                    </a:prstGeom>
                    <a:noFill/>
                    <a:ln>
                      <a:noFill/>
                    </a:ln>
                  </pic:spPr>
                </pic:pic>
              </a:graphicData>
            </a:graphic>
            <wp14:sizeRelH relativeFrom="page">
              <wp14:pctWidth>0</wp14:pctWidth>
            </wp14:sizeRelH>
            <wp14:sizeRelV relativeFrom="page">
              <wp14:pctHeight>0</wp14:pctHeight>
            </wp14:sizeRelV>
          </wp:anchor>
        </w:drawing>
      </w:r>
      <w:r w:rsidR="00F72EB2">
        <w:rPr>
          <w:noProof/>
        </w:rPr>
        <w:drawing>
          <wp:anchor distT="0" distB="0" distL="114300" distR="114300" simplePos="0" relativeHeight="251666432" behindDoc="1" locked="0" layoutInCell="1" allowOverlap="1" wp14:anchorId="62A2FD1F" wp14:editId="2EB9694B">
            <wp:simplePos x="0" y="0"/>
            <wp:positionH relativeFrom="column">
              <wp:posOffset>2933700</wp:posOffset>
            </wp:positionH>
            <wp:positionV relativeFrom="page">
              <wp:posOffset>98425</wp:posOffset>
            </wp:positionV>
            <wp:extent cx="2381250" cy="815975"/>
            <wp:effectExtent l="0" t="0" r="0" b="3175"/>
            <wp:wrapTight wrapText="bothSides">
              <wp:wrapPolygon edited="0">
                <wp:start x="2419" y="0"/>
                <wp:lineTo x="691" y="3530"/>
                <wp:lineTo x="346" y="5043"/>
                <wp:lineTo x="346" y="12607"/>
                <wp:lineTo x="1901" y="17146"/>
                <wp:lineTo x="3110" y="17146"/>
                <wp:lineTo x="2938" y="19667"/>
                <wp:lineTo x="3802" y="20675"/>
                <wp:lineTo x="6048" y="21180"/>
                <wp:lineTo x="6912" y="21180"/>
                <wp:lineTo x="19354" y="20675"/>
                <wp:lineTo x="20045" y="18154"/>
                <wp:lineTo x="19181" y="17146"/>
                <wp:lineTo x="21254" y="13111"/>
                <wp:lineTo x="21427" y="4539"/>
                <wp:lineTo x="16243" y="2017"/>
                <wp:lineTo x="3456" y="0"/>
                <wp:lineTo x="2419" y="0"/>
              </wp:wrapPolygon>
            </wp:wrapTight>
            <wp:docPr id="553858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15975"/>
                    </a:xfrm>
                    <a:prstGeom prst="rect">
                      <a:avLst/>
                    </a:prstGeom>
                    <a:noFill/>
                    <a:ln>
                      <a:noFill/>
                    </a:ln>
                  </pic:spPr>
                </pic:pic>
              </a:graphicData>
            </a:graphic>
          </wp:anchor>
        </w:drawing>
      </w:r>
      <w:r w:rsidR="00055EBB">
        <w:fldChar w:fldCharType="begin"/>
      </w:r>
      <w:r w:rsidR="00055EBB">
        <w:instrText xml:space="preserve"> INCLUDEPICTURE "https://med-fom-medicine.sites.olt.ubc.ca/files/2023/06/ubc-logo-edited.jpg" \* MERGEFORMATINET </w:instrText>
      </w:r>
      <w:r w:rsidR="00055EBB">
        <w:fldChar w:fldCharType="separate"/>
      </w:r>
      <w:r w:rsidR="00055EBB">
        <w:fldChar w:fldCharType="end"/>
      </w:r>
      <w:r w:rsidR="00055EBB">
        <w:fldChar w:fldCharType="begin"/>
      </w:r>
      <w:r w:rsidR="00055EBB">
        <w:instrText xml:space="preserve"> INCLUDEPICTURE "https://www.ctnplus.ca/wp-content/uploads/2025/04/centre-Advancing-Health-colour-logotagline.png" \* MERGEFORMATINET </w:instrText>
      </w:r>
      <w:r w:rsidR="00055EBB">
        <w:fldChar w:fldCharType="separate"/>
      </w:r>
      <w:r w:rsidR="00055EBB">
        <w:fldChar w:fldCharType="end"/>
      </w:r>
      <w:r w:rsidR="00055EBB">
        <w:fldChar w:fldCharType="begin"/>
      </w:r>
      <w:r w:rsidR="00055EBB">
        <w:instrText xml:space="preserve"> INCLUDEPICTURE "https://images.squarespace-cdn.com/content/v1/5b04518ada02bcd93a56dd82/1531067708206-1MCF4Z5IDM823WBVLZFG/ODPRN_logo_trans.png" \* MERGEFORMATINET </w:instrText>
      </w:r>
      <w:r w:rsidR="00055EBB">
        <w:fldChar w:fldCharType="separate"/>
      </w:r>
      <w:r w:rsidR="00055EBB">
        <w:fldChar w:fldCharType="end"/>
      </w:r>
    </w:p>
    <w:p w14:paraId="4C618CA6" w14:textId="0763D57D" w:rsidR="00055EBB" w:rsidRDefault="00055EBB" w:rsidP="009467A1">
      <w:pPr>
        <w:jc w:val="both"/>
        <w:rPr>
          <w:rFonts w:ascii="Calibri" w:eastAsia="Calibri" w:hAnsi="Calibri" w:cs="Calibri"/>
          <w:b/>
          <w:sz w:val="24"/>
          <w:szCs w:val="24"/>
        </w:rPr>
      </w:pPr>
    </w:p>
    <w:p w14:paraId="00CC0CD6" w14:textId="788C4ADC" w:rsidR="00055EBB" w:rsidRDefault="00055EBB" w:rsidP="009467A1">
      <w:pPr>
        <w:jc w:val="both"/>
        <w:rPr>
          <w:rFonts w:ascii="Calibri" w:eastAsia="Calibri" w:hAnsi="Calibri" w:cs="Calibri"/>
          <w:b/>
          <w:sz w:val="24"/>
          <w:szCs w:val="24"/>
        </w:rPr>
      </w:pPr>
    </w:p>
    <w:p w14:paraId="56F6268B" w14:textId="7DB27343" w:rsidR="00055EBB" w:rsidRDefault="00055EBB" w:rsidP="009467A1">
      <w:pPr>
        <w:jc w:val="both"/>
        <w:rPr>
          <w:rFonts w:ascii="Calibri" w:eastAsia="Calibri" w:hAnsi="Calibri" w:cs="Calibri"/>
          <w:b/>
          <w:sz w:val="24"/>
          <w:szCs w:val="24"/>
        </w:rPr>
      </w:pPr>
    </w:p>
    <w:p w14:paraId="59371746" w14:textId="229D65F0" w:rsidR="00055EBB" w:rsidRDefault="002E3272" w:rsidP="009467A1">
      <w:pPr>
        <w:jc w:val="both"/>
        <w:rPr>
          <w:rFonts w:ascii="Calibri" w:eastAsia="Calibri" w:hAnsi="Calibri" w:cs="Calibri"/>
          <w:b/>
          <w:sz w:val="24"/>
          <w:szCs w:val="24"/>
        </w:rPr>
      </w:pPr>
      <w:r>
        <w:rPr>
          <w:rFonts w:ascii="Calibri" w:eastAsia="Calibri" w:hAnsi="Calibri" w:cs="Calibri"/>
          <w:b/>
          <w:sz w:val="24"/>
          <w:szCs w:val="24"/>
        </w:rPr>
        <w:t xml:space="preserve">New Analysis Reveals </w:t>
      </w:r>
      <w:r w:rsidR="00351706">
        <w:rPr>
          <w:rFonts w:ascii="Calibri" w:eastAsia="Calibri" w:hAnsi="Calibri" w:cs="Calibri"/>
          <w:b/>
          <w:sz w:val="24"/>
          <w:szCs w:val="24"/>
        </w:rPr>
        <w:t xml:space="preserve">Alberta Study on Closure of </w:t>
      </w:r>
      <w:r w:rsidR="00294815">
        <w:rPr>
          <w:rFonts w:ascii="Calibri" w:eastAsia="Calibri" w:hAnsi="Calibri" w:cs="Calibri"/>
          <w:b/>
          <w:sz w:val="24"/>
          <w:szCs w:val="24"/>
        </w:rPr>
        <w:t xml:space="preserve">the Red Deer </w:t>
      </w:r>
      <w:r w:rsidR="00351706">
        <w:rPr>
          <w:rFonts w:ascii="Calibri" w:eastAsia="Calibri" w:hAnsi="Calibri" w:cs="Calibri"/>
          <w:b/>
          <w:sz w:val="24"/>
          <w:szCs w:val="24"/>
        </w:rPr>
        <w:t xml:space="preserve">Supervised Consumption Site is </w:t>
      </w:r>
      <w:r w:rsidR="009467A1">
        <w:rPr>
          <w:rFonts w:ascii="Calibri" w:eastAsia="Calibri" w:hAnsi="Calibri" w:cs="Calibri"/>
          <w:b/>
          <w:sz w:val="24"/>
          <w:szCs w:val="24"/>
        </w:rPr>
        <w:t xml:space="preserve">Deeply </w:t>
      </w:r>
      <w:r w:rsidR="00351706">
        <w:rPr>
          <w:rFonts w:ascii="Calibri" w:eastAsia="Calibri" w:hAnsi="Calibri" w:cs="Calibri"/>
          <w:b/>
          <w:sz w:val="24"/>
          <w:szCs w:val="24"/>
        </w:rPr>
        <w:t>Flawed</w:t>
      </w:r>
      <w:r w:rsidR="00055EBB">
        <w:fldChar w:fldCharType="begin"/>
      </w:r>
      <w:r w:rsidR="00055EBB">
        <w:instrText xml:space="preserve"> INCLUDEPICTURE "https://www.bccsu.ca/wp-content/uploads/2016/10/bccsu-logo-retina.jpg" \* MERGEFORMATINET </w:instrText>
      </w:r>
      <w:r w:rsidR="00055EBB">
        <w:fldChar w:fldCharType="separate"/>
      </w:r>
      <w:r w:rsidR="00055EBB">
        <w:fldChar w:fldCharType="end"/>
      </w:r>
    </w:p>
    <w:p w14:paraId="04E1E3F9" w14:textId="3E3C12D4" w:rsidR="00AD3EEC" w:rsidRDefault="00AD3EEC" w:rsidP="009467A1">
      <w:pPr>
        <w:jc w:val="both"/>
        <w:rPr>
          <w:rFonts w:ascii="Calibri" w:eastAsia="Calibri" w:hAnsi="Calibri" w:cs="Calibri"/>
          <w:sz w:val="24"/>
          <w:szCs w:val="24"/>
        </w:rPr>
      </w:pPr>
    </w:p>
    <w:p w14:paraId="68F37F47" w14:textId="5EEDFD4D" w:rsidR="00AD3EEC" w:rsidRDefault="009467A1" w:rsidP="009467A1">
      <w:pPr>
        <w:jc w:val="both"/>
        <w:rPr>
          <w:rFonts w:ascii="Calibri" w:eastAsia="Calibri" w:hAnsi="Calibri" w:cs="Calibri"/>
          <w:sz w:val="24"/>
          <w:szCs w:val="24"/>
        </w:rPr>
      </w:pPr>
      <w:r>
        <w:rPr>
          <w:rFonts w:ascii="Calibri" w:eastAsia="Calibri" w:hAnsi="Calibri" w:cs="Calibri"/>
          <w:i/>
          <w:sz w:val="24"/>
          <w:szCs w:val="24"/>
        </w:rPr>
        <w:t xml:space="preserve">A </w:t>
      </w:r>
      <w:r w:rsidR="00813FC6">
        <w:rPr>
          <w:rFonts w:ascii="Calibri" w:eastAsia="Calibri" w:hAnsi="Calibri" w:cs="Calibri"/>
          <w:i/>
          <w:sz w:val="24"/>
          <w:szCs w:val="24"/>
        </w:rPr>
        <w:t xml:space="preserve">new peer-reviewed analysis of a study on Alberta supervised consumption sites </w:t>
      </w:r>
      <w:r>
        <w:rPr>
          <w:rFonts w:ascii="Calibri" w:eastAsia="Calibri" w:hAnsi="Calibri" w:cs="Calibri"/>
          <w:i/>
          <w:sz w:val="24"/>
          <w:szCs w:val="24"/>
        </w:rPr>
        <w:t>outline</w:t>
      </w:r>
      <w:r w:rsidR="00813FC6">
        <w:rPr>
          <w:rFonts w:ascii="Calibri" w:eastAsia="Calibri" w:hAnsi="Calibri" w:cs="Calibri"/>
          <w:i/>
          <w:sz w:val="24"/>
          <w:szCs w:val="24"/>
        </w:rPr>
        <w:t>s</w:t>
      </w:r>
      <w:r>
        <w:rPr>
          <w:rFonts w:ascii="Calibri" w:eastAsia="Calibri" w:hAnsi="Calibri" w:cs="Calibri"/>
          <w:i/>
          <w:sz w:val="24"/>
          <w:szCs w:val="24"/>
        </w:rPr>
        <w:t xml:space="preserve"> </w:t>
      </w:r>
      <w:r w:rsidR="00351706">
        <w:rPr>
          <w:rFonts w:ascii="Calibri" w:eastAsia="Calibri" w:hAnsi="Calibri" w:cs="Calibri"/>
          <w:i/>
          <w:sz w:val="24"/>
          <w:szCs w:val="24"/>
        </w:rPr>
        <w:t xml:space="preserve">major methodological flaws, undisclosed conflicts </w:t>
      </w:r>
      <w:r w:rsidR="002E3272">
        <w:rPr>
          <w:rFonts w:ascii="Calibri" w:eastAsia="Calibri" w:hAnsi="Calibri" w:cs="Calibri"/>
          <w:i/>
          <w:sz w:val="24"/>
          <w:szCs w:val="24"/>
        </w:rPr>
        <w:t>and links to Alberta’s government</w:t>
      </w:r>
      <w:r w:rsidR="00351706">
        <w:rPr>
          <w:rFonts w:ascii="Calibri" w:eastAsia="Calibri" w:hAnsi="Calibri" w:cs="Calibri"/>
          <w:i/>
          <w:sz w:val="24"/>
          <w:szCs w:val="24"/>
        </w:rPr>
        <w:t>, and misleading statements by the study’s authors</w:t>
      </w:r>
    </w:p>
    <w:p w14:paraId="6066ACFE" w14:textId="11AEF86E" w:rsidR="00AD3EEC" w:rsidRDefault="00AD3EEC" w:rsidP="009467A1">
      <w:pPr>
        <w:jc w:val="both"/>
        <w:rPr>
          <w:rFonts w:ascii="Calibri" w:eastAsia="Calibri" w:hAnsi="Calibri" w:cs="Calibri"/>
          <w:sz w:val="24"/>
          <w:szCs w:val="24"/>
        </w:rPr>
      </w:pPr>
    </w:p>
    <w:p w14:paraId="5E07832F" w14:textId="7B6365B1" w:rsidR="00AD3EEC" w:rsidRDefault="009E74A3" w:rsidP="009467A1">
      <w:pPr>
        <w:jc w:val="both"/>
        <w:rPr>
          <w:rFonts w:ascii="Calibri" w:eastAsia="Calibri" w:hAnsi="Calibri" w:cs="Calibri"/>
          <w:sz w:val="24"/>
          <w:szCs w:val="24"/>
        </w:rPr>
      </w:pPr>
      <w:r>
        <w:rPr>
          <w:rFonts w:ascii="Calibri" w:eastAsia="Calibri" w:hAnsi="Calibri" w:cs="Calibri"/>
          <w:sz w:val="24"/>
          <w:szCs w:val="24"/>
        </w:rPr>
        <w:t>[</w:t>
      </w:r>
      <w:r w:rsidR="00622752">
        <w:rPr>
          <w:rFonts w:ascii="Calibri" w:eastAsia="Calibri" w:hAnsi="Calibri" w:cs="Calibri"/>
          <w:sz w:val="24"/>
          <w:szCs w:val="24"/>
        </w:rPr>
        <w:t xml:space="preserve">October </w:t>
      </w:r>
      <w:r w:rsidR="000653DA">
        <w:rPr>
          <w:rFonts w:ascii="Calibri" w:eastAsia="Calibri" w:hAnsi="Calibri" w:cs="Calibri"/>
          <w:sz w:val="24"/>
          <w:szCs w:val="24"/>
        </w:rPr>
        <w:t>5</w:t>
      </w:r>
      <w:r w:rsidR="00622752">
        <w:rPr>
          <w:rFonts w:ascii="Calibri" w:eastAsia="Calibri" w:hAnsi="Calibri" w:cs="Calibri"/>
          <w:sz w:val="24"/>
          <w:szCs w:val="24"/>
        </w:rPr>
        <w:t>, 2026</w:t>
      </w:r>
      <w:r>
        <w:rPr>
          <w:rFonts w:ascii="Calibri" w:eastAsia="Calibri" w:hAnsi="Calibri" w:cs="Calibri"/>
          <w:sz w:val="24"/>
          <w:szCs w:val="24"/>
        </w:rPr>
        <w:t xml:space="preserve">] A coalition of </w:t>
      </w:r>
      <w:r w:rsidR="00351706">
        <w:rPr>
          <w:rFonts w:ascii="Calibri" w:eastAsia="Calibri" w:hAnsi="Calibri" w:cs="Calibri"/>
          <w:sz w:val="24"/>
          <w:szCs w:val="24"/>
        </w:rPr>
        <w:t xml:space="preserve">leading </w:t>
      </w:r>
      <w:r>
        <w:rPr>
          <w:rFonts w:ascii="Calibri" w:eastAsia="Calibri" w:hAnsi="Calibri" w:cs="Calibri"/>
          <w:sz w:val="24"/>
          <w:szCs w:val="24"/>
        </w:rPr>
        <w:t xml:space="preserve">researchers </w:t>
      </w:r>
      <w:r w:rsidR="000653DA">
        <w:rPr>
          <w:rFonts w:ascii="Calibri" w:eastAsia="Calibri" w:hAnsi="Calibri" w:cs="Calibri"/>
          <w:sz w:val="24"/>
          <w:szCs w:val="24"/>
        </w:rPr>
        <w:t xml:space="preserve">from across Canada </w:t>
      </w:r>
      <w:r w:rsidR="00351706">
        <w:rPr>
          <w:rFonts w:ascii="Calibri" w:eastAsia="Calibri" w:hAnsi="Calibri" w:cs="Calibri"/>
          <w:sz w:val="24"/>
          <w:szCs w:val="24"/>
        </w:rPr>
        <w:t>published a</w:t>
      </w:r>
      <w:r w:rsidR="002E3272">
        <w:rPr>
          <w:rFonts w:ascii="Calibri" w:eastAsia="Calibri" w:hAnsi="Calibri" w:cs="Calibri"/>
          <w:sz w:val="24"/>
          <w:szCs w:val="24"/>
        </w:rPr>
        <w:t>n analysis</w:t>
      </w:r>
      <w:r w:rsidR="00351706">
        <w:rPr>
          <w:rFonts w:ascii="Calibri" w:eastAsia="Calibri" w:hAnsi="Calibri" w:cs="Calibri"/>
          <w:sz w:val="24"/>
          <w:szCs w:val="24"/>
        </w:rPr>
        <w:t xml:space="preserve"> </w:t>
      </w:r>
      <w:r w:rsidR="00813FC6">
        <w:rPr>
          <w:rFonts w:ascii="Calibri" w:eastAsia="Calibri" w:hAnsi="Calibri" w:cs="Calibri"/>
          <w:sz w:val="24"/>
          <w:szCs w:val="24"/>
        </w:rPr>
        <w:t xml:space="preserve">and </w:t>
      </w:r>
      <w:r w:rsidR="002E3272">
        <w:rPr>
          <w:rFonts w:ascii="Calibri" w:eastAsia="Calibri" w:hAnsi="Calibri" w:cs="Calibri"/>
          <w:sz w:val="24"/>
          <w:szCs w:val="24"/>
        </w:rPr>
        <w:t xml:space="preserve">accompanying commentary </w:t>
      </w:r>
      <w:r w:rsidR="00351706">
        <w:rPr>
          <w:rFonts w:ascii="Calibri" w:eastAsia="Calibri" w:hAnsi="Calibri" w:cs="Calibri"/>
          <w:sz w:val="24"/>
          <w:szCs w:val="24"/>
        </w:rPr>
        <w:t xml:space="preserve">in the </w:t>
      </w:r>
      <w:r w:rsidR="00351706" w:rsidRPr="00351706">
        <w:rPr>
          <w:rFonts w:ascii="Calibri" w:eastAsia="Calibri" w:hAnsi="Calibri" w:cs="Calibri"/>
          <w:i/>
          <w:iCs/>
          <w:sz w:val="24"/>
          <w:szCs w:val="24"/>
        </w:rPr>
        <w:t>International Journal of Drug Policy</w:t>
      </w:r>
      <w:r w:rsidR="00351706">
        <w:rPr>
          <w:rFonts w:ascii="Calibri" w:eastAsia="Calibri" w:hAnsi="Calibri" w:cs="Calibri"/>
          <w:sz w:val="24"/>
          <w:szCs w:val="24"/>
        </w:rPr>
        <w:t xml:space="preserve"> outlining major flaws and other issues with a study published by researchers with Alberta’s Centre of Recovery Excellence (CoRE) describing the impacts of the closure of a supervised consumption site (SCS) in Red Deer, Alberta. </w:t>
      </w:r>
    </w:p>
    <w:p w14:paraId="61408607" w14:textId="77777777" w:rsidR="00AD3EEC" w:rsidRDefault="00AD3EEC" w:rsidP="009467A1">
      <w:pPr>
        <w:jc w:val="both"/>
        <w:rPr>
          <w:rFonts w:ascii="Calibri" w:eastAsia="Calibri" w:hAnsi="Calibri" w:cs="Calibri"/>
          <w:sz w:val="24"/>
          <w:szCs w:val="24"/>
        </w:rPr>
      </w:pPr>
    </w:p>
    <w:p w14:paraId="0362A03A" w14:textId="4A151868" w:rsidR="00AD3EEC" w:rsidRDefault="00351706" w:rsidP="009467A1">
      <w:pPr>
        <w:jc w:val="both"/>
        <w:rPr>
          <w:rFonts w:ascii="Calibri" w:eastAsia="Calibri" w:hAnsi="Calibri" w:cs="Calibri"/>
          <w:sz w:val="24"/>
          <w:szCs w:val="24"/>
        </w:rPr>
      </w:pPr>
      <w:r>
        <w:rPr>
          <w:rFonts w:ascii="Calibri" w:eastAsia="Calibri" w:hAnsi="Calibri" w:cs="Calibri"/>
          <w:sz w:val="24"/>
          <w:szCs w:val="24"/>
        </w:rPr>
        <w:t xml:space="preserve">The </w:t>
      </w:r>
      <w:r w:rsidR="002E3272">
        <w:rPr>
          <w:rFonts w:ascii="Calibri" w:eastAsia="Calibri" w:hAnsi="Calibri" w:cs="Calibri"/>
          <w:sz w:val="24"/>
          <w:szCs w:val="24"/>
        </w:rPr>
        <w:t xml:space="preserve">original </w:t>
      </w:r>
      <w:r>
        <w:rPr>
          <w:rFonts w:ascii="Calibri" w:eastAsia="Calibri" w:hAnsi="Calibri" w:cs="Calibri"/>
          <w:sz w:val="24"/>
          <w:szCs w:val="24"/>
        </w:rPr>
        <w:t xml:space="preserve">paper in question was published in the </w:t>
      </w:r>
      <w:r w:rsidR="000653DA">
        <w:rPr>
          <w:rFonts w:ascii="Calibri" w:eastAsia="Calibri" w:hAnsi="Calibri" w:cs="Calibri"/>
          <w:sz w:val="24"/>
          <w:szCs w:val="24"/>
        </w:rPr>
        <w:t xml:space="preserve">scientific </w:t>
      </w:r>
      <w:r>
        <w:rPr>
          <w:rFonts w:ascii="Calibri" w:eastAsia="Calibri" w:hAnsi="Calibri" w:cs="Calibri"/>
          <w:sz w:val="24"/>
          <w:szCs w:val="24"/>
        </w:rPr>
        <w:t xml:space="preserve">journal </w:t>
      </w:r>
      <w:r w:rsidRPr="009467A1">
        <w:rPr>
          <w:rFonts w:ascii="Calibri" w:eastAsia="Calibri" w:hAnsi="Calibri" w:cs="Calibri"/>
          <w:i/>
          <w:iCs/>
          <w:sz w:val="24"/>
          <w:szCs w:val="24"/>
        </w:rPr>
        <w:t>Addiction</w:t>
      </w:r>
      <w:r w:rsidR="005672A6">
        <w:rPr>
          <w:rFonts w:ascii="Calibri" w:eastAsia="Calibri" w:hAnsi="Calibri" w:cs="Calibri"/>
          <w:i/>
          <w:iCs/>
          <w:sz w:val="24"/>
          <w:szCs w:val="24"/>
        </w:rPr>
        <w:t xml:space="preserve"> </w:t>
      </w:r>
      <w:r w:rsidR="005672A6">
        <w:rPr>
          <w:rFonts w:ascii="Calibri" w:eastAsia="Calibri" w:hAnsi="Calibri" w:cs="Calibri"/>
          <w:sz w:val="24"/>
          <w:szCs w:val="24"/>
        </w:rPr>
        <w:t>earlier this year</w:t>
      </w:r>
      <w:r>
        <w:rPr>
          <w:rFonts w:ascii="Calibri" w:eastAsia="Calibri" w:hAnsi="Calibri" w:cs="Calibri"/>
          <w:sz w:val="24"/>
          <w:szCs w:val="24"/>
        </w:rPr>
        <w:t xml:space="preserve">, and suggested that the closure of the SCS in Red Deer was associated with increased enrollment in opioid agonist treatment. The authors attempted to </w:t>
      </w:r>
      <w:r w:rsidR="009467A1">
        <w:rPr>
          <w:rFonts w:ascii="Calibri" w:eastAsia="Calibri" w:hAnsi="Calibri" w:cs="Calibri"/>
          <w:sz w:val="24"/>
          <w:szCs w:val="24"/>
        </w:rPr>
        <w:t xml:space="preserve">also </w:t>
      </w:r>
      <w:r>
        <w:rPr>
          <w:rFonts w:ascii="Calibri" w:eastAsia="Calibri" w:hAnsi="Calibri" w:cs="Calibri"/>
          <w:sz w:val="24"/>
          <w:szCs w:val="24"/>
        </w:rPr>
        <w:t xml:space="preserve">look at changes in mortality and other outcomes, but were unable to do so. </w:t>
      </w:r>
    </w:p>
    <w:p w14:paraId="65C71C50" w14:textId="77777777" w:rsidR="00351706" w:rsidRDefault="00351706" w:rsidP="009467A1">
      <w:pPr>
        <w:jc w:val="both"/>
        <w:rPr>
          <w:rFonts w:ascii="Calibri" w:eastAsia="Calibri" w:hAnsi="Calibri" w:cs="Calibri"/>
          <w:sz w:val="24"/>
          <w:szCs w:val="24"/>
        </w:rPr>
      </w:pPr>
    </w:p>
    <w:p w14:paraId="740D9AA4" w14:textId="764A0A41" w:rsidR="00351706" w:rsidRDefault="002E3272" w:rsidP="009467A1">
      <w:pPr>
        <w:jc w:val="both"/>
        <w:rPr>
          <w:rFonts w:ascii="Calibri" w:eastAsia="Calibri" w:hAnsi="Calibri" w:cs="Calibri"/>
          <w:sz w:val="24"/>
          <w:szCs w:val="24"/>
        </w:rPr>
      </w:pPr>
      <w:r>
        <w:rPr>
          <w:rFonts w:ascii="Calibri" w:eastAsia="Calibri" w:hAnsi="Calibri" w:cs="Calibri"/>
          <w:sz w:val="24"/>
          <w:szCs w:val="24"/>
        </w:rPr>
        <w:t>After external review, t</w:t>
      </w:r>
      <w:r w:rsidR="00351706">
        <w:rPr>
          <w:rFonts w:ascii="Calibri" w:eastAsia="Calibri" w:hAnsi="Calibri" w:cs="Calibri"/>
          <w:sz w:val="24"/>
          <w:szCs w:val="24"/>
        </w:rPr>
        <w:t>he paper was deemed to be so deeply flawed that 25 Canadian researchers working in the substance use field</w:t>
      </w:r>
      <w:r>
        <w:rPr>
          <w:rFonts w:ascii="Calibri" w:eastAsia="Calibri" w:hAnsi="Calibri" w:cs="Calibri"/>
          <w:sz w:val="24"/>
          <w:szCs w:val="24"/>
        </w:rPr>
        <w:t xml:space="preserve"> subsequently</w:t>
      </w:r>
      <w:r w:rsidR="00351706">
        <w:rPr>
          <w:rFonts w:ascii="Calibri" w:eastAsia="Calibri" w:hAnsi="Calibri" w:cs="Calibri"/>
          <w:sz w:val="24"/>
          <w:szCs w:val="24"/>
        </w:rPr>
        <w:t xml:space="preserve"> wrote to the editors of </w:t>
      </w:r>
      <w:r w:rsidR="00351706" w:rsidRPr="009467A1">
        <w:rPr>
          <w:rFonts w:ascii="Calibri" w:eastAsia="Calibri" w:hAnsi="Calibri" w:cs="Calibri"/>
          <w:i/>
          <w:iCs/>
          <w:sz w:val="24"/>
          <w:szCs w:val="24"/>
        </w:rPr>
        <w:t>Addiction</w:t>
      </w:r>
      <w:r w:rsidR="00351706">
        <w:rPr>
          <w:rFonts w:ascii="Calibri" w:eastAsia="Calibri" w:hAnsi="Calibri" w:cs="Calibri"/>
          <w:sz w:val="24"/>
          <w:szCs w:val="24"/>
        </w:rPr>
        <w:t>, calling for the paper to be fully retracted. Their request was denied. In response, several of those who made the request for retraction subsequently published th</w:t>
      </w:r>
      <w:r>
        <w:rPr>
          <w:rFonts w:ascii="Calibri" w:eastAsia="Calibri" w:hAnsi="Calibri" w:cs="Calibri"/>
          <w:sz w:val="24"/>
          <w:szCs w:val="24"/>
        </w:rPr>
        <w:t xml:space="preserve">eir </w:t>
      </w:r>
      <w:r w:rsidR="000653DA">
        <w:rPr>
          <w:rFonts w:ascii="Calibri" w:eastAsia="Calibri" w:hAnsi="Calibri" w:cs="Calibri"/>
          <w:sz w:val="24"/>
          <w:szCs w:val="24"/>
        </w:rPr>
        <w:t>concerns</w:t>
      </w:r>
      <w:r w:rsidR="00351706">
        <w:rPr>
          <w:rFonts w:ascii="Calibri" w:eastAsia="Calibri" w:hAnsi="Calibri" w:cs="Calibri"/>
          <w:sz w:val="24"/>
          <w:szCs w:val="24"/>
        </w:rPr>
        <w:t xml:space="preserve">, outlining </w:t>
      </w:r>
      <w:r w:rsidR="00294815">
        <w:rPr>
          <w:rFonts w:ascii="Calibri" w:eastAsia="Calibri" w:hAnsi="Calibri" w:cs="Calibri"/>
          <w:sz w:val="24"/>
          <w:szCs w:val="24"/>
        </w:rPr>
        <w:t xml:space="preserve">the </w:t>
      </w:r>
      <w:r w:rsidR="00F72EB2">
        <w:rPr>
          <w:rFonts w:ascii="Calibri" w:eastAsia="Calibri" w:hAnsi="Calibri" w:cs="Calibri"/>
          <w:sz w:val="24"/>
          <w:szCs w:val="24"/>
        </w:rPr>
        <w:t xml:space="preserve">considerable </w:t>
      </w:r>
      <w:r>
        <w:rPr>
          <w:rFonts w:ascii="Calibri" w:eastAsia="Calibri" w:hAnsi="Calibri" w:cs="Calibri"/>
          <w:sz w:val="24"/>
          <w:szCs w:val="24"/>
        </w:rPr>
        <w:t xml:space="preserve">flaws of </w:t>
      </w:r>
      <w:r w:rsidR="00351706">
        <w:rPr>
          <w:rFonts w:ascii="Calibri" w:eastAsia="Calibri" w:hAnsi="Calibri" w:cs="Calibri"/>
          <w:sz w:val="24"/>
          <w:szCs w:val="24"/>
        </w:rPr>
        <w:t>the Alberta paper</w:t>
      </w:r>
      <w:r w:rsidR="00DC4D0E">
        <w:rPr>
          <w:rFonts w:ascii="Calibri" w:eastAsia="Calibri" w:hAnsi="Calibri" w:cs="Calibri"/>
          <w:sz w:val="24"/>
          <w:szCs w:val="24"/>
        </w:rPr>
        <w:t xml:space="preserve"> in the commentary published in the </w:t>
      </w:r>
      <w:r w:rsidR="00DC4D0E" w:rsidRPr="000653DA">
        <w:rPr>
          <w:rFonts w:ascii="Calibri" w:eastAsia="Calibri" w:hAnsi="Calibri" w:cs="Calibri"/>
          <w:i/>
          <w:iCs/>
          <w:sz w:val="24"/>
          <w:szCs w:val="24"/>
        </w:rPr>
        <w:t>International Journal of Drug Po</w:t>
      </w:r>
      <w:r w:rsidR="00F72EB2">
        <w:rPr>
          <w:rFonts w:ascii="Calibri" w:eastAsia="Calibri" w:hAnsi="Calibri" w:cs="Calibri"/>
          <w:i/>
          <w:iCs/>
          <w:sz w:val="24"/>
          <w:szCs w:val="24"/>
        </w:rPr>
        <w:t>l</w:t>
      </w:r>
      <w:r w:rsidR="00DC4D0E" w:rsidRPr="000653DA">
        <w:rPr>
          <w:rFonts w:ascii="Calibri" w:eastAsia="Calibri" w:hAnsi="Calibri" w:cs="Calibri"/>
          <w:i/>
          <w:iCs/>
          <w:sz w:val="24"/>
          <w:szCs w:val="24"/>
        </w:rPr>
        <w:t>icy</w:t>
      </w:r>
      <w:r w:rsidR="00351706">
        <w:rPr>
          <w:rFonts w:ascii="Calibri" w:eastAsia="Calibri" w:hAnsi="Calibri" w:cs="Calibri"/>
          <w:sz w:val="24"/>
          <w:szCs w:val="24"/>
        </w:rPr>
        <w:t xml:space="preserve">. </w:t>
      </w:r>
    </w:p>
    <w:p w14:paraId="77B7488A" w14:textId="77777777" w:rsidR="00351706" w:rsidRDefault="00351706" w:rsidP="009467A1">
      <w:pPr>
        <w:jc w:val="both"/>
        <w:rPr>
          <w:rFonts w:ascii="Calibri" w:eastAsia="Calibri" w:hAnsi="Calibri" w:cs="Calibri"/>
          <w:sz w:val="24"/>
          <w:szCs w:val="24"/>
        </w:rPr>
      </w:pPr>
    </w:p>
    <w:p w14:paraId="08FE9B18" w14:textId="42D75772" w:rsidR="00622752" w:rsidRDefault="00351706" w:rsidP="009467A1">
      <w:pPr>
        <w:jc w:val="both"/>
        <w:rPr>
          <w:rFonts w:ascii="Calibri" w:eastAsia="Calibri" w:hAnsi="Calibri" w:cs="Calibri"/>
          <w:sz w:val="24"/>
          <w:szCs w:val="24"/>
        </w:rPr>
      </w:pPr>
      <w:r>
        <w:rPr>
          <w:rFonts w:ascii="Calibri" w:eastAsia="Calibri" w:hAnsi="Calibri" w:cs="Calibri"/>
          <w:sz w:val="24"/>
          <w:szCs w:val="24"/>
        </w:rPr>
        <w:t xml:space="preserve">Among the problems were a range of methodological flaws, undisclosed conflicts of interest, </w:t>
      </w:r>
      <w:r w:rsidR="002E3272">
        <w:rPr>
          <w:rFonts w:ascii="Calibri" w:eastAsia="Calibri" w:hAnsi="Calibri" w:cs="Calibri"/>
          <w:sz w:val="24"/>
          <w:szCs w:val="24"/>
        </w:rPr>
        <w:t xml:space="preserve">links to Alberta’s government that were not disclosed, </w:t>
      </w:r>
      <w:r>
        <w:rPr>
          <w:rFonts w:ascii="Calibri" w:eastAsia="Calibri" w:hAnsi="Calibri" w:cs="Calibri"/>
          <w:sz w:val="24"/>
          <w:szCs w:val="24"/>
        </w:rPr>
        <w:t xml:space="preserve">and statements by the authors, including the lead author, misrepresenting the study findings. </w:t>
      </w:r>
      <w:r w:rsidR="00622752">
        <w:rPr>
          <w:rFonts w:ascii="Calibri" w:eastAsia="Calibri" w:hAnsi="Calibri" w:cs="Calibri"/>
          <w:sz w:val="24"/>
          <w:szCs w:val="24"/>
        </w:rPr>
        <w:t xml:space="preserve"> </w:t>
      </w:r>
    </w:p>
    <w:p w14:paraId="1145733A" w14:textId="77777777" w:rsidR="00622752" w:rsidRDefault="00622752" w:rsidP="009467A1">
      <w:pPr>
        <w:jc w:val="both"/>
        <w:rPr>
          <w:rFonts w:ascii="Calibri" w:eastAsia="Calibri" w:hAnsi="Calibri" w:cs="Calibri"/>
          <w:sz w:val="24"/>
          <w:szCs w:val="24"/>
        </w:rPr>
      </w:pPr>
    </w:p>
    <w:p w14:paraId="078A1F7E" w14:textId="4E2C72B2" w:rsidR="00487999" w:rsidRDefault="00487999" w:rsidP="009467A1">
      <w:pPr>
        <w:jc w:val="both"/>
        <w:rPr>
          <w:rFonts w:ascii="Calibri" w:eastAsia="Calibri" w:hAnsi="Calibri" w:cs="Calibri"/>
          <w:sz w:val="24"/>
          <w:szCs w:val="24"/>
        </w:rPr>
      </w:pPr>
      <w:r>
        <w:rPr>
          <w:rFonts w:ascii="Calibri" w:eastAsia="Calibri" w:hAnsi="Calibri" w:cs="Calibri"/>
          <w:sz w:val="24"/>
          <w:szCs w:val="24"/>
        </w:rPr>
        <w:t xml:space="preserve">Other concerns </w:t>
      </w:r>
      <w:r w:rsidR="002E3272">
        <w:rPr>
          <w:rFonts w:ascii="Calibri" w:eastAsia="Calibri" w:hAnsi="Calibri" w:cs="Calibri"/>
          <w:sz w:val="24"/>
          <w:szCs w:val="24"/>
        </w:rPr>
        <w:t xml:space="preserve">include </w:t>
      </w:r>
      <w:r>
        <w:rPr>
          <w:rFonts w:ascii="Calibri" w:eastAsia="Calibri" w:hAnsi="Calibri" w:cs="Calibri"/>
          <w:sz w:val="24"/>
          <w:szCs w:val="24"/>
        </w:rPr>
        <w:t xml:space="preserve">the </w:t>
      </w:r>
      <w:r w:rsidR="002E3272">
        <w:rPr>
          <w:rFonts w:ascii="Calibri" w:eastAsia="Calibri" w:hAnsi="Calibri" w:cs="Calibri"/>
          <w:sz w:val="24"/>
          <w:szCs w:val="24"/>
        </w:rPr>
        <w:t xml:space="preserve">failure to account for the rollout of </w:t>
      </w:r>
      <w:r>
        <w:rPr>
          <w:rFonts w:ascii="Calibri" w:eastAsia="Calibri" w:hAnsi="Calibri" w:cs="Calibri"/>
          <w:sz w:val="24"/>
          <w:szCs w:val="24"/>
        </w:rPr>
        <w:t>programs designed to reduce negative impacts of the closure</w:t>
      </w:r>
      <w:r w:rsidR="002E3272">
        <w:rPr>
          <w:rFonts w:ascii="Calibri" w:eastAsia="Calibri" w:hAnsi="Calibri" w:cs="Calibri"/>
          <w:sz w:val="24"/>
          <w:szCs w:val="24"/>
        </w:rPr>
        <w:t xml:space="preserve">, including the implementation of a street-based overdose response team and mobile addiction treatment clinic near the former site of the SCS in the period when it was closed, which </w:t>
      </w:r>
      <w:r w:rsidR="00DC4D0E">
        <w:rPr>
          <w:rFonts w:ascii="Calibri" w:eastAsia="Calibri" w:hAnsi="Calibri" w:cs="Calibri"/>
          <w:sz w:val="24"/>
          <w:szCs w:val="24"/>
        </w:rPr>
        <w:t xml:space="preserve">could </w:t>
      </w:r>
      <w:r w:rsidR="002E3272">
        <w:rPr>
          <w:rFonts w:ascii="Calibri" w:eastAsia="Calibri" w:hAnsi="Calibri" w:cs="Calibri"/>
          <w:sz w:val="24"/>
          <w:szCs w:val="24"/>
        </w:rPr>
        <w:t xml:space="preserve">explain </w:t>
      </w:r>
      <w:r w:rsidR="00DC4D0E">
        <w:rPr>
          <w:rFonts w:ascii="Calibri" w:eastAsia="Calibri" w:hAnsi="Calibri" w:cs="Calibri"/>
          <w:sz w:val="24"/>
          <w:szCs w:val="24"/>
        </w:rPr>
        <w:t xml:space="preserve">much of </w:t>
      </w:r>
      <w:r w:rsidR="002E3272">
        <w:rPr>
          <w:rFonts w:ascii="Calibri" w:eastAsia="Calibri" w:hAnsi="Calibri" w:cs="Calibri"/>
          <w:sz w:val="24"/>
          <w:szCs w:val="24"/>
        </w:rPr>
        <w:t>the study’s findings</w:t>
      </w:r>
      <w:r>
        <w:rPr>
          <w:rFonts w:ascii="Calibri" w:eastAsia="Calibri" w:hAnsi="Calibri" w:cs="Calibri"/>
          <w:sz w:val="24"/>
          <w:szCs w:val="24"/>
        </w:rPr>
        <w:t>.</w:t>
      </w:r>
      <w:r w:rsidR="002E3272">
        <w:rPr>
          <w:rFonts w:ascii="Calibri" w:eastAsia="Calibri" w:hAnsi="Calibri" w:cs="Calibri"/>
          <w:sz w:val="24"/>
          <w:szCs w:val="24"/>
        </w:rPr>
        <w:t xml:space="preserve"> Furthermore, the study’s lead author oversaw the implementation of these services in his role as Alberta’s provincial </w:t>
      </w:r>
      <w:r w:rsidR="002E3272">
        <w:rPr>
          <w:rFonts w:ascii="Calibri" w:eastAsia="Calibri" w:hAnsi="Calibri" w:cs="Calibri"/>
          <w:sz w:val="24"/>
          <w:szCs w:val="24"/>
        </w:rPr>
        <w:lastRenderedPageBreak/>
        <w:t xml:space="preserve">medical director of addiction services, making </w:t>
      </w:r>
      <w:r w:rsidR="00DC4D0E">
        <w:rPr>
          <w:rFonts w:ascii="Calibri" w:eastAsia="Calibri" w:hAnsi="Calibri" w:cs="Calibri"/>
          <w:sz w:val="24"/>
          <w:szCs w:val="24"/>
        </w:rPr>
        <w:t>the lack of disclosure of such programs</w:t>
      </w:r>
      <w:r w:rsidR="002E3272">
        <w:rPr>
          <w:rFonts w:ascii="Calibri" w:eastAsia="Calibri" w:hAnsi="Calibri" w:cs="Calibri"/>
          <w:sz w:val="24"/>
          <w:szCs w:val="24"/>
        </w:rPr>
        <w:t xml:space="preserve"> from the analysis concerning. </w:t>
      </w:r>
    </w:p>
    <w:p w14:paraId="05BE4593" w14:textId="77777777" w:rsidR="00487999" w:rsidRDefault="00487999" w:rsidP="009467A1">
      <w:pPr>
        <w:jc w:val="both"/>
        <w:rPr>
          <w:rFonts w:ascii="Calibri" w:eastAsia="Calibri" w:hAnsi="Calibri" w:cs="Calibri"/>
          <w:sz w:val="24"/>
          <w:szCs w:val="24"/>
        </w:rPr>
      </w:pPr>
    </w:p>
    <w:p w14:paraId="175B0A48" w14:textId="1A390842" w:rsidR="00487999" w:rsidRDefault="00487999" w:rsidP="009467A1">
      <w:pPr>
        <w:jc w:val="both"/>
        <w:rPr>
          <w:rFonts w:ascii="Calibri" w:eastAsia="Calibri" w:hAnsi="Calibri" w:cs="Calibri"/>
          <w:sz w:val="24"/>
          <w:szCs w:val="24"/>
        </w:rPr>
      </w:pPr>
      <w:r>
        <w:rPr>
          <w:rFonts w:ascii="Calibri" w:eastAsia="Calibri" w:hAnsi="Calibri" w:cs="Calibri"/>
          <w:sz w:val="24"/>
          <w:szCs w:val="24"/>
        </w:rPr>
        <w:t xml:space="preserve">Also concerning was a </w:t>
      </w:r>
      <w:r w:rsidR="002E3272">
        <w:rPr>
          <w:rFonts w:ascii="Calibri" w:eastAsia="Calibri" w:hAnsi="Calibri" w:cs="Calibri"/>
          <w:sz w:val="24"/>
          <w:szCs w:val="24"/>
        </w:rPr>
        <w:t xml:space="preserve">misrepresentation of the authorship group’s institution, the Centre on Recovery Excellence (CoRE). Though the authors explicitly state that CoRE was </w:t>
      </w:r>
      <w:r w:rsidR="0011616D">
        <w:rPr>
          <w:rFonts w:ascii="Calibri" w:eastAsia="Calibri" w:hAnsi="Calibri" w:cs="Calibri"/>
          <w:sz w:val="24"/>
          <w:szCs w:val="24"/>
        </w:rPr>
        <w:t xml:space="preserve">independent of the Alberta government, the CEO of CoRE is appointed by, and directly reports to, the province’s Minister of Mental Health and Addictions. This undermines their stated claims of research independence. This was accompanied by a </w:t>
      </w:r>
      <w:r>
        <w:rPr>
          <w:rFonts w:ascii="Calibri" w:eastAsia="Calibri" w:hAnsi="Calibri" w:cs="Calibri"/>
          <w:sz w:val="24"/>
          <w:szCs w:val="24"/>
        </w:rPr>
        <w:t xml:space="preserve">range of </w:t>
      </w:r>
      <w:r w:rsidR="0011616D">
        <w:rPr>
          <w:rFonts w:ascii="Calibri" w:eastAsia="Calibri" w:hAnsi="Calibri" w:cs="Calibri"/>
          <w:sz w:val="24"/>
          <w:szCs w:val="24"/>
        </w:rPr>
        <w:t xml:space="preserve">other </w:t>
      </w:r>
      <w:r>
        <w:rPr>
          <w:rFonts w:ascii="Calibri" w:eastAsia="Calibri" w:hAnsi="Calibri" w:cs="Calibri"/>
          <w:sz w:val="24"/>
          <w:szCs w:val="24"/>
        </w:rPr>
        <w:t xml:space="preserve">undisclosed conflicts of interest by the authors, including their roles in overseeing substance use service delivery in Alberta, including the closure of the site. </w:t>
      </w:r>
    </w:p>
    <w:p w14:paraId="7C0628E4" w14:textId="77777777" w:rsidR="006B00CE" w:rsidRDefault="006B00CE" w:rsidP="009467A1">
      <w:pPr>
        <w:pStyle w:val="Default"/>
        <w:jc w:val="both"/>
        <w:rPr>
          <w:rFonts w:asciiTheme="minorHAnsi" w:hAnsiTheme="minorHAnsi" w:cstheme="minorHAnsi"/>
        </w:rPr>
      </w:pPr>
    </w:p>
    <w:p w14:paraId="234CA1A7" w14:textId="264396A0" w:rsidR="00464F1D" w:rsidRDefault="00464F1D" w:rsidP="00464F1D">
      <w:pPr>
        <w:jc w:val="both"/>
        <w:rPr>
          <w:rFonts w:ascii="Calibri" w:eastAsia="Calibri" w:hAnsi="Calibri" w:cs="Calibri"/>
          <w:sz w:val="24"/>
          <w:szCs w:val="24"/>
        </w:rPr>
      </w:pPr>
      <w:r>
        <w:rPr>
          <w:rFonts w:ascii="Calibri" w:eastAsia="Calibri" w:hAnsi="Calibri" w:cs="Calibri"/>
          <w:sz w:val="24"/>
          <w:szCs w:val="24"/>
        </w:rPr>
        <w:t>“Scientific evidence on supervised consumption services should be rigorous, and it should be conducted by scientists and research institutions that are free from political interference,” said the study’s lead author, Dr. Thomas Kerr, Professor and Head of Division of Social Medicine at the University of British Columbia. “We have grave concerns about the Alberta study, given its methodological errors and the failure of its authors to disclose that it was done on behalf of a wing of the Alberta government intent on shutting down supervised consumption services in that province.”</w:t>
      </w:r>
    </w:p>
    <w:p w14:paraId="529E7072" w14:textId="77777777" w:rsidR="00464F1D" w:rsidRPr="009467A1" w:rsidRDefault="00464F1D" w:rsidP="009467A1">
      <w:pPr>
        <w:pStyle w:val="Default"/>
        <w:jc w:val="both"/>
        <w:rPr>
          <w:rFonts w:asciiTheme="minorHAnsi" w:hAnsiTheme="minorHAnsi" w:cstheme="minorHAnsi"/>
        </w:rPr>
      </w:pPr>
    </w:p>
    <w:p w14:paraId="1802928B" w14:textId="00130D99" w:rsidR="006B00CE" w:rsidRPr="009467A1" w:rsidRDefault="006B00CE" w:rsidP="009467A1">
      <w:pPr>
        <w:jc w:val="both"/>
        <w:rPr>
          <w:rFonts w:asciiTheme="minorHAnsi" w:eastAsia="Calibri" w:hAnsiTheme="minorHAnsi" w:cstheme="minorHAnsi"/>
          <w:sz w:val="24"/>
          <w:szCs w:val="24"/>
        </w:rPr>
      </w:pPr>
      <w:r w:rsidRPr="009467A1">
        <w:rPr>
          <w:rFonts w:asciiTheme="minorHAnsi" w:hAnsiTheme="minorHAnsi" w:cstheme="minorHAnsi"/>
          <w:sz w:val="24"/>
          <w:szCs w:val="24"/>
        </w:rPr>
        <w:t xml:space="preserve">This case sheds further light on the challenges related to communicating the scientific record </w:t>
      </w:r>
      <w:r w:rsidR="0011616D">
        <w:rPr>
          <w:rFonts w:asciiTheme="minorHAnsi" w:hAnsiTheme="minorHAnsi" w:cstheme="minorHAnsi"/>
          <w:sz w:val="24"/>
          <w:szCs w:val="24"/>
        </w:rPr>
        <w:t xml:space="preserve">on effective overdose prevention interventions. </w:t>
      </w:r>
      <w:r w:rsidR="00EB1B6C">
        <w:rPr>
          <w:rFonts w:asciiTheme="minorHAnsi" w:hAnsiTheme="minorHAnsi" w:cstheme="minorHAnsi"/>
          <w:sz w:val="24"/>
          <w:szCs w:val="24"/>
        </w:rPr>
        <w:t>Given that the Alberta study was used to justify the closure of supervised consumption services by the governments of Alberta and Ontario, it also reveals how flawed scientific reports can lead to concerning policy decisions. T</w:t>
      </w:r>
      <w:r w:rsidRPr="009467A1">
        <w:rPr>
          <w:rFonts w:asciiTheme="minorHAnsi" w:hAnsiTheme="minorHAnsi" w:cstheme="minorHAnsi"/>
          <w:sz w:val="24"/>
          <w:szCs w:val="24"/>
        </w:rPr>
        <w:t>he</w:t>
      </w:r>
      <w:r w:rsidR="00EB1B6C">
        <w:rPr>
          <w:rFonts w:asciiTheme="minorHAnsi" w:hAnsiTheme="minorHAnsi" w:cstheme="minorHAnsi"/>
          <w:sz w:val="24"/>
          <w:szCs w:val="24"/>
        </w:rPr>
        <w:t xml:space="preserve">re is therefore a need </w:t>
      </w:r>
      <w:r w:rsidRPr="009467A1">
        <w:rPr>
          <w:rFonts w:asciiTheme="minorHAnsi" w:hAnsiTheme="minorHAnsi" w:cstheme="minorHAnsi"/>
          <w:sz w:val="24"/>
          <w:szCs w:val="24"/>
        </w:rPr>
        <w:t xml:space="preserve">for more effective and impartial </w:t>
      </w:r>
      <w:r w:rsidR="0011616D">
        <w:rPr>
          <w:rFonts w:asciiTheme="minorHAnsi" w:hAnsiTheme="minorHAnsi" w:cstheme="minorHAnsi"/>
          <w:sz w:val="24"/>
          <w:szCs w:val="24"/>
        </w:rPr>
        <w:t xml:space="preserve">scientific </w:t>
      </w:r>
      <w:r w:rsidRPr="009467A1">
        <w:rPr>
          <w:rFonts w:asciiTheme="minorHAnsi" w:hAnsiTheme="minorHAnsi" w:cstheme="minorHAnsi"/>
          <w:sz w:val="24"/>
          <w:szCs w:val="24"/>
        </w:rPr>
        <w:t>retraction processes, as well as efforts to minimize instances of potential research misconduct in the drug policy space.</w:t>
      </w:r>
    </w:p>
    <w:p w14:paraId="79A970D6" w14:textId="77777777" w:rsidR="00AD3EEC" w:rsidRPr="009467A1" w:rsidRDefault="00AD3EEC" w:rsidP="009467A1">
      <w:pPr>
        <w:jc w:val="both"/>
        <w:rPr>
          <w:rFonts w:asciiTheme="minorHAnsi" w:eastAsia="Calibri" w:hAnsiTheme="minorHAnsi" w:cstheme="minorHAnsi"/>
          <w:sz w:val="24"/>
          <w:szCs w:val="24"/>
        </w:rPr>
      </w:pPr>
    </w:p>
    <w:p w14:paraId="7D896620" w14:textId="7888BE7F" w:rsidR="00AD3EEC" w:rsidRPr="009467A1" w:rsidRDefault="009E74A3" w:rsidP="009467A1">
      <w:pPr>
        <w:jc w:val="both"/>
        <w:rPr>
          <w:rFonts w:asciiTheme="minorHAnsi" w:eastAsia="Calibri" w:hAnsiTheme="minorHAnsi" w:cstheme="minorHAnsi"/>
          <w:sz w:val="24"/>
          <w:szCs w:val="24"/>
        </w:rPr>
      </w:pPr>
      <w:r w:rsidRPr="009467A1">
        <w:rPr>
          <w:rFonts w:asciiTheme="minorHAnsi" w:eastAsia="Calibri" w:hAnsiTheme="minorHAnsi" w:cstheme="minorHAnsi"/>
          <w:sz w:val="24"/>
          <w:szCs w:val="24"/>
        </w:rPr>
        <w:t xml:space="preserve">A full copy of the </w:t>
      </w:r>
      <w:r w:rsidR="0011616D">
        <w:rPr>
          <w:rFonts w:asciiTheme="minorHAnsi" w:eastAsia="Calibri" w:hAnsiTheme="minorHAnsi" w:cstheme="minorHAnsi"/>
          <w:sz w:val="24"/>
          <w:szCs w:val="24"/>
        </w:rPr>
        <w:t xml:space="preserve">analysis and commentary </w:t>
      </w:r>
      <w:r w:rsidRPr="009467A1">
        <w:rPr>
          <w:rFonts w:asciiTheme="minorHAnsi" w:eastAsia="Calibri" w:hAnsiTheme="minorHAnsi" w:cstheme="minorHAnsi"/>
          <w:sz w:val="24"/>
          <w:szCs w:val="24"/>
        </w:rPr>
        <w:t>can be found here [</w:t>
      </w:r>
      <w:hyperlink r:id="rId11" w:history="1">
        <w:r w:rsidRPr="0011616D">
          <w:rPr>
            <w:rStyle w:val="Hyperlink"/>
            <w:rFonts w:asciiTheme="minorHAnsi" w:eastAsia="Calibri" w:hAnsiTheme="minorHAnsi" w:cstheme="minorHAnsi"/>
            <w:sz w:val="24"/>
            <w:szCs w:val="24"/>
          </w:rPr>
          <w:t>link</w:t>
        </w:r>
      </w:hyperlink>
      <w:r w:rsidRPr="009467A1">
        <w:rPr>
          <w:rFonts w:asciiTheme="minorHAnsi" w:eastAsia="Calibri" w:hAnsiTheme="minorHAnsi" w:cstheme="minorHAnsi"/>
          <w:sz w:val="24"/>
          <w:szCs w:val="24"/>
        </w:rPr>
        <w:t>].</w:t>
      </w:r>
    </w:p>
    <w:p w14:paraId="1B1FCED1" w14:textId="77777777" w:rsidR="00AD3EEC" w:rsidRPr="009467A1" w:rsidRDefault="00AD3EEC" w:rsidP="009467A1">
      <w:pPr>
        <w:jc w:val="both"/>
        <w:rPr>
          <w:rFonts w:asciiTheme="minorHAnsi" w:eastAsia="Calibri" w:hAnsiTheme="minorHAnsi" w:cstheme="minorHAnsi"/>
          <w:sz w:val="24"/>
          <w:szCs w:val="24"/>
        </w:rPr>
      </w:pPr>
    </w:p>
    <w:p w14:paraId="02FDF83C" w14:textId="7D02C8A7" w:rsidR="00AD3EEC" w:rsidRDefault="00622752" w:rsidP="00622752">
      <w:pPr>
        <w:jc w:val="center"/>
        <w:rPr>
          <w:rFonts w:asciiTheme="minorHAnsi" w:eastAsia="Calibri" w:hAnsiTheme="minorHAnsi" w:cstheme="minorHAnsi"/>
          <w:sz w:val="24"/>
          <w:szCs w:val="24"/>
        </w:rPr>
      </w:pPr>
      <w:r>
        <w:rPr>
          <w:rFonts w:asciiTheme="minorHAnsi" w:eastAsia="Calibri" w:hAnsiTheme="minorHAnsi" w:cstheme="minorHAnsi"/>
          <w:sz w:val="24"/>
          <w:szCs w:val="24"/>
        </w:rPr>
        <w:t>-30-</w:t>
      </w:r>
    </w:p>
    <w:p w14:paraId="2A38825E" w14:textId="77777777" w:rsidR="00622752" w:rsidRPr="009467A1" w:rsidRDefault="00622752" w:rsidP="00622752">
      <w:pPr>
        <w:jc w:val="center"/>
        <w:rPr>
          <w:rFonts w:asciiTheme="minorHAnsi" w:eastAsia="Calibri" w:hAnsiTheme="minorHAnsi" w:cstheme="minorHAnsi"/>
          <w:sz w:val="24"/>
          <w:szCs w:val="24"/>
        </w:rPr>
      </w:pPr>
    </w:p>
    <w:p w14:paraId="6428C1B4" w14:textId="6138765B" w:rsidR="00AD3EEC" w:rsidRPr="009467A1" w:rsidRDefault="009E74A3" w:rsidP="009467A1">
      <w:pPr>
        <w:jc w:val="both"/>
        <w:rPr>
          <w:rFonts w:asciiTheme="minorHAnsi" w:eastAsia="Calibri" w:hAnsiTheme="minorHAnsi" w:cstheme="minorHAnsi"/>
          <w:sz w:val="24"/>
          <w:szCs w:val="24"/>
        </w:rPr>
      </w:pPr>
      <w:r w:rsidRPr="009467A1">
        <w:rPr>
          <w:rFonts w:asciiTheme="minorHAnsi" w:eastAsia="Calibri" w:hAnsiTheme="minorHAnsi" w:cstheme="minorHAnsi"/>
          <w:sz w:val="24"/>
          <w:szCs w:val="24"/>
        </w:rPr>
        <w:t>For more information or to schedule an interview</w:t>
      </w:r>
      <w:r w:rsidR="000653DA">
        <w:rPr>
          <w:rFonts w:asciiTheme="minorHAnsi" w:eastAsia="Calibri" w:hAnsiTheme="minorHAnsi" w:cstheme="minorHAnsi"/>
          <w:sz w:val="24"/>
          <w:szCs w:val="24"/>
        </w:rPr>
        <w:t xml:space="preserve"> with one of the study authors</w:t>
      </w:r>
      <w:r w:rsidRPr="009467A1">
        <w:rPr>
          <w:rFonts w:asciiTheme="minorHAnsi" w:eastAsia="Calibri" w:hAnsiTheme="minorHAnsi" w:cstheme="minorHAnsi"/>
          <w:sz w:val="24"/>
          <w:szCs w:val="24"/>
        </w:rPr>
        <w:t>, please contact:</w:t>
      </w:r>
    </w:p>
    <w:p w14:paraId="0A9C012B" w14:textId="01F92306" w:rsidR="00AD3EEC" w:rsidRDefault="00AD3EEC" w:rsidP="009467A1">
      <w:pPr>
        <w:jc w:val="both"/>
        <w:rPr>
          <w:rFonts w:asciiTheme="minorHAnsi" w:eastAsia="Calibri" w:hAnsiTheme="minorHAnsi" w:cstheme="minorHAnsi"/>
          <w:sz w:val="24"/>
          <w:szCs w:val="24"/>
        </w:rPr>
      </w:pPr>
    </w:p>
    <w:p w14:paraId="0C3A4EF8" w14:textId="47D8BAAD" w:rsidR="0011616D" w:rsidRPr="009467A1" w:rsidRDefault="0011616D" w:rsidP="009467A1">
      <w:pPr>
        <w:jc w:val="both"/>
        <w:rPr>
          <w:rFonts w:asciiTheme="minorHAnsi" w:eastAsia="Calibri" w:hAnsiTheme="minorHAnsi" w:cstheme="minorHAnsi"/>
          <w:sz w:val="24"/>
          <w:szCs w:val="24"/>
        </w:rPr>
      </w:pPr>
      <w:r>
        <w:rPr>
          <w:rFonts w:asciiTheme="minorHAnsi" w:eastAsia="Calibri" w:hAnsiTheme="minorHAnsi" w:cstheme="minorHAnsi"/>
          <w:sz w:val="24"/>
          <w:szCs w:val="24"/>
        </w:rPr>
        <w:t>Tanisha Palmer, Centre on Drug Policy Evaluation</w:t>
      </w:r>
    </w:p>
    <w:p w14:paraId="1DE592E2" w14:textId="5FAEF152" w:rsidR="00AD3EEC" w:rsidRPr="009467A1" w:rsidRDefault="009E74A3" w:rsidP="009467A1">
      <w:pPr>
        <w:jc w:val="both"/>
        <w:rPr>
          <w:rFonts w:asciiTheme="minorHAnsi" w:eastAsia="Calibri" w:hAnsiTheme="minorHAnsi" w:cstheme="minorHAnsi"/>
          <w:sz w:val="24"/>
          <w:szCs w:val="24"/>
        </w:rPr>
      </w:pPr>
      <w:r w:rsidRPr="009467A1">
        <w:rPr>
          <w:rFonts w:asciiTheme="minorHAnsi" w:eastAsia="Calibri" w:hAnsiTheme="minorHAnsi" w:cstheme="minorHAnsi"/>
          <w:sz w:val="24"/>
          <w:szCs w:val="24"/>
        </w:rPr>
        <w:t xml:space="preserve">Cell: </w:t>
      </w:r>
      <w:r w:rsidR="00812027">
        <w:t>647-286-0341</w:t>
      </w:r>
    </w:p>
    <w:p w14:paraId="0B40ADCA" w14:textId="79571418" w:rsidR="00AD3EEC" w:rsidRDefault="009E74A3" w:rsidP="009467A1">
      <w:pPr>
        <w:jc w:val="both"/>
        <w:rPr>
          <w:rFonts w:asciiTheme="minorHAnsi" w:eastAsia="Calibri" w:hAnsiTheme="minorHAnsi" w:cstheme="minorHAnsi"/>
          <w:sz w:val="24"/>
          <w:szCs w:val="24"/>
        </w:rPr>
      </w:pPr>
      <w:r w:rsidRPr="009467A1">
        <w:rPr>
          <w:rFonts w:asciiTheme="minorHAnsi" w:eastAsia="Calibri" w:hAnsiTheme="minorHAnsi" w:cstheme="minorHAnsi"/>
          <w:sz w:val="24"/>
          <w:szCs w:val="24"/>
        </w:rPr>
        <w:t xml:space="preserve">Email: </w:t>
      </w:r>
      <w:hyperlink r:id="rId12" w:history="1">
        <w:r w:rsidR="0011616D" w:rsidRPr="00837E6A">
          <w:rPr>
            <w:rStyle w:val="Hyperlink"/>
            <w:rFonts w:asciiTheme="minorHAnsi" w:eastAsia="Calibri" w:hAnsiTheme="minorHAnsi" w:cstheme="minorHAnsi"/>
            <w:sz w:val="24"/>
            <w:szCs w:val="24"/>
          </w:rPr>
          <w:t>tanisha.palmer@unityhealth.to</w:t>
        </w:r>
      </w:hyperlink>
      <w:r w:rsidR="0011616D">
        <w:rPr>
          <w:rFonts w:asciiTheme="minorHAnsi" w:eastAsia="Calibri" w:hAnsiTheme="minorHAnsi" w:cstheme="minorHAnsi"/>
          <w:sz w:val="24"/>
          <w:szCs w:val="24"/>
        </w:rPr>
        <w:t xml:space="preserve"> </w:t>
      </w:r>
    </w:p>
    <w:p w14:paraId="687F3C3B" w14:textId="77777777" w:rsidR="0011616D" w:rsidRDefault="0011616D" w:rsidP="009467A1">
      <w:pPr>
        <w:jc w:val="both"/>
        <w:rPr>
          <w:rFonts w:asciiTheme="minorHAnsi" w:eastAsia="Calibri" w:hAnsiTheme="minorHAnsi" w:cstheme="minorHAnsi"/>
          <w:sz w:val="24"/>
          <w:szCs w:val="24"/>
        </w:rPr>
      </w:pPr>
    </w:p>
    <w:p w14:paraId="6C1159D6" w14:textId="77777777" w:rsidR="0011616D" w:rsidRDefault="0011616D" w:rsidP="009467A1">
      <w:pPr>
        <w:jc w:val="both"/>
        <w:rPr>
          <w:rFonts w:asciiTheme="minorHAnsi" w:eastAsia="Calibri" w:hAnsiTheme="minorHAnsi" w:cstheme="minorHAnsi"/>
          <w:sz w:val="24"/>
          <w:szCs w:val="24"/>
        </w:rPr>
      </w:pPr>
    </w:p>
    <w:p w14:paraId="398FAD7E" w14:textId="77777777" w:rsidR="0011616D" w:rsidRPr="009467A1" w:rsidRDefault="0011616D" w:rsidP="009467A1">
      <w:pPr>
        <w:jc w:val="both"/>
        <w:rPr>
          <w:rFonts w:asciiTheme="minorHAnsi" w:eastAsia="Calibri" w:hAnsiTheme="minorHAnsi" w:cstheme="minorHAnsi"/>
          <w:sz w:val="24"/>
          <w:szCs w:val="24"/>
        </w:rPr>
      </w:pPr>
    </w:p>
    <w:sectPr w:rsidR="0011616D" w:rsidRPr="009467A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9C631E" w14:textId="77777777" w:rsidR="005F6FFA" w:rsidRDefault="005F6FFA">
      <w:pPr>
        <w:spacing w:line="240" w:lineRule="auto"/>
      </w:pPr>
      <w:r>
        <w:separator/>
      </w:r>
    </w:p>
  </w:endnote>
  <w:endnote w:type="continuationSeparator" w:id="0">
    <w:p w14:paraId="1112F88E" w14:textId="77777777" w:rsidR="005F6FFA" w:rsidRDefault="005F6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981838" w14:textId="499D8771" w:rsidR="00B70FEE" w:rsidRDefault="00055EBB" w:rsidP="00D724C4">
    <w:pPr>
      <w:pStyle w:val="Footer"/>
      <w:framePr w:wrap="none" w:vAnchor="text" w:hAnchor="margin" w:xAlign="center" w:y="1"/>
      <w:rPr>
        <w:rStyle w:val="PageNumber"/>
      </w:rPr>
    </w:pPr>
    <w:r>
      <w:rPr>
        <w:noProof/>
      </w:rPr>
      <w:drawing>
        <wp:anchor distT="0" distB="0" distL="114300" distR="114300" simplePos="1" relativeHeight="251660288" behindDoc="1" locked="0" layoutInCell="1" allowOverlap="1" wp14:anchorId="3B61CAAD" wp14:editId="31A91369">
          <wp:simplePos x="114300" y="236220"/>
          <wp:positionH relativeFrom="margin">
            <wp:posOffset>114300</wp:posOffset>
          </wp:positionH>
          <wp:positionV relativeFrom="paragraph">
            <wp:posOffset>236220</wp:posOffset>
          </wp:positionV>
          <wp:extent cx="1844040" cy="489585"/>
          <wp:effectExtent l="0" t="0" r="3810" b="5715"/>
          <wp:wrapTight wrapText="bothSides">
            <wp:wrapPolygon edited="0">
              <wp:start x="0" y="0"/>
              <wp:lineTo x="0" y="21012"/>
              <wp:lineTo x="21421" y="21012"/>
              <wp:lineTo x="214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DPE full 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4040" cy="489585"/>
                  </a:xfrm>
                  <a:prstGeom prst="rect">
                    <a:avLst/>
                  </a:prstGeom>
                </pic:spPr>
              </pic:pic>
            </a:graphicData>
          </a:graphic>
          <wp14:sizeRelH relativeFrom="margin">
            <wp14:pctWidth>0</wp14:pctWidth>
          </wp14:sizeRelH>
          <wp14:sizeRelV relativeFrom="margin">
            <wp14:pctHeight>0</wp14:pctHeight>
          </wp14:sizeRelV>
        </wp:anchor>
      </w:drawing>
    </w:r>
    <w:sdt>
      <w:sdtPr>
        <w:rPr>
          <w:rStyle w:val="PageNumber"/>
        </w:rPr>
        <w:id w:val="-57637601"/>
        <w:docPartObj>
          <w:docPartGallery w:val="Page Numbers (Bottom of Page)"/>
          <w:docPartUnique/>
        </w:docPartObj>
      </w:sdtPr>
      <w:sdtContent>
        <w:r w:rsidR="00B70FEE">
          <w:rPr>
            <w:rStyle w:val="PageNumber"/>
          </w:rPr>
          <w:fldChar w:fldCharType="begin"/>
        </w:r>
        <w:r w:rsidR="00B70FEE">
          <w:rPr>
            <w:rStyle w:val="PageNumber"/>
          </w:rPr>
          <w:instrText xml:space="preserve"> PAGE </w:instrText>
        </w:r>
        <w:r w:rsidR="00B70FEE">
          <w:rPr>
            <w:rStyle w:val="PageNumber"/>
          </w:rPr>
          <w:fldChar w:fldCharType="separate"/>
        </w:r>
        <w:r w:rsidR="00B70FEE">
          <w:rPr>
            <w:rStyle w:val="PageNumber"/>
          </w:rPr>
          <w:fldChar w:fldCharType="end"/>
        </w:r>
      </w:sdtContent>
    </w:sdt>
  </w:p>
  <w:p w14:paraId="0F475522" w14:textId="77777777" w:rsidR="003C4ED2" w:rsidRDefault="003C4E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8230354"/>
      <w:docPartObj>
        <w:docPartGallery w:val="Page Numbers (Bottom of Page)"/>
        <w:docPartUnique/>
      </w:docPartObj>
    </w:sdtPr>
    <w:sdtContent>
      <w:p w14:paraId="24783B6A" w14:textId="76106472" w:rsidR="00B70FEE" w:rsidRDefault="00B70FEE" w:rsidP="00D724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86E33DA" w14:textId="77777777" w:rsidR="003C4ED2" w:rsidRDefault="003C4E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B6A20" w14:textId="77777777" w:rsidR="00EB1B6C" w:rsidRDefault="00EB1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D9010F" w14:textId="77777777" w:rsidR="005F6FFA" w:rsidRDefault="005F6FFA">
      <w:pPr>
        <w:spacing w:line="240" w:lineRule="auto"/>
      </w:pPr>
      <w:r>
        <w:separator/>
      </w:r>
    </w:p>
  </w:footnote>
  <w:footnote w:type="continuationSeparator" w:id="0">
    <w:p w14:paraId="351595D1" w14:textId="77777777" w:rsidR="005F6FFA" w:rsidRDefault="005F6F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AB2B7E" w14:textId="77777777" w:rsidR="00F60DDF" w:rsidRDefault="00F60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BF9963" w14:textId="469C6CE8" w:rsidR="00AD3EEC" w:rsidRDefault="00AD3EE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996AE" w14:textId="77777777" w:rsidR="00F60DDF" w:rsidRDefault="00F60DDF">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EEC"/>
    <w:rsid w:val="000379B6"/>
    <w:rsid w:val="000424E0"/>
    <w:rsid w:val="00054F5F"/>
    <w:rsid w:val="00055EBB"/>
    <w:rsid w:val="000653DA"/>
    <w:rsid w:val="0011616D"/>
    <w:rsid w:val="0016609D"/>
    <w:rsid w:val="00294815"/>
    <w:rsid w:val="002E3272"/>
    <w:rsid w:val="00351706"/>
    <w:rsid w:val="003C4ED2"/>
    <w:rsid w:val="003D77DB"/>
    <w:rsid w:val="0043604A"/>
    <w:rsid w:val="00464F1D"/>
    <w:rsid w:val="00487999"/>
    <w:rsid w:val="005533BF"/>
    <w:rsid w:val="00563708"/>
    <w:rsid w:val="005672A6"/>
    <w:rsid w:val="00586C2F"/>
    <w:rsid w:val="005F6FFA"/>
    <w:rsid w:val="00622752"/>
    <w:rsid w:val="006B00CE"/>
    <w:rsid w:val="00771FF0"/>
    <w:rsid w:val="00812027"/>
    <w:rsid w:val="00813FC6"/>
    <w:rsid w:val="008332EC"/>
    <w:rsid w:val="009467A1"/>
    <w:rsid w:val="009E74A3"/>
    <w:rsid w:val="00A06E3D"/>
    <w:rsid w:val="00AD3EEC"/>
    <w:rsid w:val="00B70FEE"/>
    <w:rsid w:val="00BA1C9D"/>
    <w:rsid w:val="00BD3162"/>
    <w:rsid w:val="00CB2B21"/>
    <w:rsid w:val="00CC117F"/>
    <w:rsid w:val="00DC4D0E"/>
    <w:rsid w:val="00DF76EC"/>
    <w:rsid w:val="00EB1B6C"/>
    <w:rsid w:val="00F60D56"/>
    <w:rsid w:val="00F60DDF"/>
    <w:rsid w:val="00F72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2B22"/>
  <w15:docId w15:val="{7D412F21-232C-224C-93A3-244A1B855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en-US" w:eastAsia="en-US"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054F5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4F5F"/>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054F5F"/>
    <w:rPr>
      <w:b/>
      <w:bCs/>
      <w:sz w:val="20"/>
      <w:szCs w:val="20"/>
    </w:rPr>
  </w:style>
  <w:style w:type="character" w:customStyle="1" w:styleId="CommentSubjectChar">
    <w:name w:val="Comment Subject Char"/>
    <w:basedOn w:val="CommentTextChar"/>
    <w:link w:val="CommentSubject"/>
    <w:uiPriority w:val="99"/>
    <w:semiHidden/>
    <w:rsid w:val="00054F5F"/>
    <w:rPr>
      <w:b/>
      <w:bCs/>
      <w:sz w:val="20"/>
      <w:szCs w:val="20"/>
    </w:rPr>
  </w:style>
  <w:style w:type="paragraph" w:styleId="Header">
    <w:name w:val="header"/>
    <w:basedOn w:val="Normal"/>
    <w:link w:val="HeaderChar"/>
    <w:uiPriority w:val="99"/>
    <w:unhideWhenUsed/>
    <w:rsid w:val="00F60DDF"/>
    <w:pPr>
      <w:tabs>
        <w:tab w:val="center" w:pos="4680"/>
        <w:tab w:val="right" w:pos="9360"/>
      </w:tabs>
      <w:spacing w:line="240" w:lineRule="auto"/>
    </w:pPr>
  </w:style>
  <w:style w:type="character" w:customStyle="1" w:styleId="HeaderChar">
    <w:name w:val="Header Char"/>
    <w:basedOn w:val="DefaultParagraphFont"/>
    <w:link w:val="Header"/>
    <w:uiPriority w:val="99"/>
    <w:rsid w:val="00F60DDF"/>
  </w:style>
  <w:style w:type="paragraph" w:styleId="Footer">
    <w:name w:val="footer"/>
    <w:basedOn w:val="Normal"/>
    <w:link w:val="FooterChar"/>
    <w:uiPriority w:val="99"/>
    <w:unhideWhenUsed/>
    <w:rsid w:val="00F60DDF"/>
    <w:pPr>
      <w:tabs>
        <w:tab w:val="center" w:pos="4680"/>
        <w:tab w:val="right" w:pos="9360"/>
      </w:tabs>
      <w:spacing w:line="240" w:lineRule="auto"/>
    </w:pPr>
  </w:style>
  <w:style w:type="character" w:customStyle="1" w:styleId="FooterChar">
    <w:name w:val="Footer Char"/>
    <w:basedOn w:val="DefaultParagraphFont"/>
    <w:link w:val="Footer"/>
    <w:uiPriority w:val="99"/>
    <w:rsid w:val="00F60DDF"/>
  </w:style>
  <w:style w:type="paragraph" w:styleId="Revision">
    <w:name w:val="Revision"/>
    <w:hidden/>
    <w:uiPriority w:val="99"/>
    <w:semiHidden/>
    <w:rsid w:val="00F60DDF"/>
    <w:pPr>
      <w:widowControl/>
      <w:spacing w:line="240" w:lineRule="auto"/>
    </w:pPr>
  </w:style>
  <w:style w:type="paragraph" w:customStyle="1" w:styleId="Default">
    <w:name w:val="Default"/>
    <w:rsid w:val="006B00CE"/>
    <w:pPr>
      <w:widowControl/>
      <w:autoSpaceDE w:val="0"/>
      <w:autoSpaceDN w:val="0"/>
      <w:adjustRightInd w:val="0"/>
      <w:spacing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11616D"/>
    <w:rPr>
      <w:color w:val="0563C1" w:themeColor="hyperlink"/>
      <w:u w:val="single"/>
    </w:rPr>
  </w:style>
  <w:style w:type="character" w:styleId="UnresolvedMention">
    <w:name w:val="Unresolved Mention"/>
    <w:basedOn w:val="DefaultParagraphFont"/>
    <w:uiPriority w:val="99"/>
    <w:rsid w:val="0011616D"/>
    <w:rPr>
      <w:color w:val="605E5C"/>
      <w:shd w:val="clear" w:color="auto" w:fill="E1DFDD"/>
    </w:rPr>
  </w:style>
  <w:style w:type="character" w:styleId="PageNumber">
    <w:name w:val="page number"/>
    <w:basedOn w:val="DefaultParagraphFont"/>
    <w:uiPriority w:val="99"/>
    <w:semiHidden/>
    <w:unhideWhenUsed/>
    <w:rsid w:val="00B70FEE"/>
  </w:style>
  <w:style w:type="character" w:styleId="FollowedHyperlink">
    <w:name w:val="FollowedHyperlink"/>
    <w:basedOn w:val="DefaultParagraphFont"/>
    <w:uiPriority w:val="99"/>
    <w:semiHidden/>
    <w:unhideWhenUsed/>
    <w:rsid w:val="00F72E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mailto:tanisha.palmer@unityhealth.to"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authors.elsevier.com/c/1nrJH3PErooWzl"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Werb</dc:creator>
  <cp:keywords/>
  <dc:description/>
  <cp:lastModifiedBy>Dan Werb</cp:lastModifiedBy>
  <cp:revision>2</cp:revision>
  <dcterms:created xsi:type="dcterms:W3CDTF">2026-10-05T15:22:00Z</dcterms:created>
  <dcterms:modified xsi:type="dcterms:W3CDTF">2026-10-05T15:22:00Z</dcterms:modified>
</cp:coreProperties>
</file>